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1.对律师事务所（分所）的监督检查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依据：《中华人民共和国律师法》、《律师事务所管理办法》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2.对律师的监督检查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依据：《中华人民共和国律师法》、《律师执业管理办法》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WIzYzhmODQyZDJkNzBmYjAzMzNlMDA2ZWY4NTcifQ=="/>
  </w:docVars>
  <w:rsids>
    <w:rsidRoot w:val="00000000"/>
    <w:rsid w:val="4C160DB9"/>
    <w:rsid w:val="636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2022-06-14T04:44:00Z</dcterms:created>
  <dc:creator>Administrator</dc:creator>
  <cp:lastModifiedBy>丹&amp;麻麻(^｡^)</cp:lastModifiedBy>
  <dcterms:modified xsi:type="dcterms:W3CDTF">2023-05-23T08:18:38Z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F68B83164F5E46A1B8ACA7D653260667</vt:lpwstr>
  </property>
</Properties>
</file>